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Психолого-педагогические и учебно-методические аспекты деятельности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педагога дополнительного образования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Категория слушателей: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дополнительного образования, педагоги-организаторы, руководители, заместители руководителей учреждений дополнительного образования.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повышение профессионального мастерства педагогов дополнительного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образования детей.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углубление представлений слушателей о системе работы педагога дополнительного образования;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раскрыть основные особенности его работы в системе дополнительного образования детей в современных условиях;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обучить научной организации педагогического труда и правилам ведения документации в учреждениях дополнительного образования;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помочь преодолеть трудности в профессиональном общении и развитии коммуникативного потенциала.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окончании программы слушатель должен: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знать: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понятия курса: дополнительное образование детей; педагог дополнительного образования; педагог дополнительного образования; методика; технология; взаимодействие; педагогическая деятельность; педагогическая поддержка; образовательный маршрут; развитие личности; творчество;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сущность профессиональной деятельности педагога дополнительного образования;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документов, регламентирующих деятельность педагогов дополнительного образования;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управления учреждением дополнительного образования;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сущность инновационных процессов, идущих в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дошкольном образовании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специфику развития интересов и потребностей обучающихся (воспитанников), основы их творческой деятельности;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методику поиска и поддержки молодых талантов;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содержание, методику и организацию научно-технической, эстетической, туристско-краеведческой, оздоровительно-спортивной,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досуговой деятельности, отдыха и развлечений;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программы занятий кружков, секций, студий, клубных объединений;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деятельности детских коллективов, организаций и ассоциаций;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нормы и правила охраны труда, техники безопасности и противопожарной защиты.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уметь: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психолого-педагогического сопровождения деятельности педагога дополнительного образования;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разрабатывать концепцию развития учреждения дополнительного образования;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профессиональную ориентацию школьников в системе дополнительного образования;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актуальные и перспективные цели развития дополнительного образования;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организовывать образовательный процесс, ориентированный на воспитание и развитие личности ребёнка;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разнообразную творческую деятельность;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выявлять творческие способности обучающихся(воспитанников), способствуя их развитию, формированию устойчивых профессиональных интересов и склонностей;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разрабатывать и реализовывать образовательные программы;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составлять планы и программы занятий, обеспечивать их выполнение;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обеспечивать педагогически обоснованный выбор форм, средств и методов работы (обучения), исходя из психофизической целесообразности;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комплектовать состав обучающихся (воспитанников) кружка, секции, студии, клубного и другого детского объединения и принимать меры по его сохранению в течение срока обучения;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владеть: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организационными формами диагностической работы с детьми;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методами системного анализа показателей, характеризующих деятельность кружка, клуба, секции и т. д.;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методами разработки программ дополнительного образования;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методами разработки учебно-программной документации;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методами психолого-педагогической диагностики;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методами проектирования, реализации, мониторинга развития, экспертизы и коррекции программ дополнительного образования;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средствами предупреждения и разрешения конфликтов в детском коллективе.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ПРОГРАММЫ ПОВЫШЕНИЯ КВАЛИФИКАЦИИ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Тематический план повышения квалификации</w:t>
      </w:r>
    </w:p>
    <w:tbl>
      <w:tblPr/>
      <w:tblGrid>
        <w:gridCol w:w="899"/>
        <w:gridCol w:w="6458"/>
        <w:gridCol w:w="2118"/>
      </w:tblGrid>
      <w:tr>
        <w:trPr>
          <w:trHeight w:val="1" w:hRule="atLeast"/>
          <w:jc w:val="left"/>
        </w:trPr>
        <w:tc>
          <w:tcPr>
            <w:tcW w:w="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64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21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1. Сущность профессиональной деятельности педагога дополнительного образования и ее нормативное обеспечение</w:t>
            </w:r>
          </w:p>
        </w:tc>
      </w:tr>
      <w:tr>
        <w:trPr>
          <w:trHeight w:val="1" w:hRule="atLeast"/>
          <w:jc w:val="left"/>
        </w:trPr>
        <w:tc>
          <w:tcPr>
            <w:tcW w:w="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4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Профессия педагога дополнительного образования и его деятельность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1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4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Нормативное обеспечение деятельности педагога дополнительного образования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1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4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Рабочая программа педагога дополнительного образования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1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2. Концептуальные основы функционирования учреждений дополнительного образования детей</w:t>
            </w:r>
          </w:p>
        </w:tc>
      </w:tr>
      <w:tr>
        <w:trPr>
          <w:trHeight w:val="1" w:hRule="atLeast"/>
          <w:jc w:val="left"/>
        </w:trPr>
        <w:tc>
          <w:tcPr>
            <w:tcW w:w="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4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Концепция деятельности учреждения дополнительного образования детей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1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4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учреждением дополнительного образования детей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1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4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качеством образования в учреждении дополнительного образования детей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1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3. Методическая, профессионально ориентационная, инновационная деятельность в системе дополнительного образования</w:t>
            </w:r>
          </w:p>
        </w:tc>
      </w:tr>
      <w:tr>
        <w:trPr>
          <w:trHeight w:val="1" w:hRule="atLeast"/>
          <w:jc w:val="left"/>
        </w:trPr>
        <w:tc>
          <w:tcPr>
            <w:tcW w:w="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4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Методическая работа в учреждениях дополнительного образования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1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4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Профессиональная ориентация в системе дополнительного образования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1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4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Инновации в системе дополнительного образования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1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4. Психолого-педагогическое сопровождение деятельности педагога дополнительного образования</w:t>
            </w:r>
          </w:p>
        </w:tc>
      </w:tr>
      <w:tr>
        <w:trPr>
          <w:trHeight w:val="1" w:hRule="atLeast"/>
          <w:jc w:val="left"/>
        </w:trPr>
        <w:tc>
          <w:tcPr>
            <w:tcW w:w="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4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психолого-педагогического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сопровождения деятельности педагога дополнительного образования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1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4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Дополнительное образование детей в общеобразовательных учреждениях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1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7357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</w:t>
            </w:r>
          </w:p>
        </w:tc>
        <w:tc>
          <w:tcPr>
            <w:tcW w:w="21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5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6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72/108/144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8">
    <w:abstractNumId w:val="6"/>
  </w:num>
  <w:num w:numId="6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sispp.tiu.ru/g3032377-doshkolnoe-obrazovanie" Id="docRId2" Type="http://schemas.openxmlformats.org/officeDocument/2006/relationships/hyperlink"/><Relationship Target="styles.xml" Id="docRId4" Type="http://schemas.openxmlformats.org/officeDocument/2006/relationships/styles"/></Relationships>
</file>